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ackground w:color="F5EEDD"/>
  <w:body>
    <w:p>
      <w:pPr>
        <w:spacing w:after="100" w:before="0"/>
        <w:jc w:val="center"/>
      </w:pPr>
      <w:r>
        <w:drawing>
          <wp:inline distT="0" distB="0" distL="0" distR="0">
            <wp:extent cx="2476500" cy="5238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476500" cy="523875"/>
                    </a:xfrm>
                    <a:prstGeom prst="rect">
                      <a:avLst/>
                    </a:prstGeom>
                  </pic:spPr>
                </pic:pic>
              </a:graphicData>
            </a:graphic>
          </wp:inline>
        </w:drawing>
      </w:r>
    </w:p>
    <w:p>
      <w:pPr>
        <w:spacing w:after="20" w:before="0"/>
        <w:jc w:val="center"/>
      </w:pPr>
      <w:r>
        <w:rPr>
          <w:rFonts w:ascii="Cormorant Garamond" w:cs="Cormorant Garamond" w:eastAsia="Cormorant Garamond" w:hAnsi="Cormorant Garamond"/>
          <w:i/>
          <w:iCs/>
          <w:color w:val="141019"/>
          <w:sz w:val="56"/>
          <w:szCs w:val="56"/>
        </w:rPr>
        <w:t xml:space="preserve">Privacy Notice</w:t>
      </w:r>
    </w:p>
    <w:p>
      <w:pPr>
        <w:spacing w:after="60" w:before="0"/>
        <w:jc w:val="center"/>
      </w:pPr>
      <w:r>
        <w:rPr>
          <w:rFonts w:ascii="EB Garamond" w:cs="EB Garamond" w:eastAsia="EB Garamond" w:hAnsi="EB Garamond"/>
          <w:i/>
          <w:iCs/>
          <w:color w:val="534838"/>
          <w:sz w:val="24"/>
          <w:szCs w:val="24"/>
        </w:rPr>
        <w:t xml:space="preserve">Pursuant to SEC Regulation S-P (as amended May 2024)</w:t>
      </w:r>
    </w:p>
    <w:p>
      <w:pPr>
        <w:pBdr>
          <w:bottom w:val="single" w:color="A8863A" w:sz="4" w:space="6"/>
        </w:pBdr>
        <w:spacing w:after="60" w:before="0"/>
        <w:jc w:val="center"/>
      </w:pPr>
      <w:r>
        <w:rPr>
          <w:rFonts w:ascii="JetBrains Mono" w:cs="JetBrains Mono" w:eastAsia="JetBrains Mono" w:hAnsi="JetBrains Mono"/>
          <w:color w:val="7F6428"/>
          <w:spacing w:val="80"/>
          <w:sz w:val="12"/>
          <w:szCs w:val="12"/>
        </w:rPr>
        <w:t xml:space="preserve">INTELLICAPITAL  ADVISORS,  LLC   ·   EFFECTIVE  MARCH  31,  2026</w:t>
      </w:r>
    </w:p>
    <w:p>
      <w:pPr>
        <w:spacing w:after="80" w:before="80" w:line="280"/>
        <w:jc w:val="both"/>
      </w:pPr>
      <w:r>
        <w:rPr>
          <w:rFonts w:ascii="JetBrains Mono" w:cs="JetBrains Mono" w:eastAsia="JetBrains Mono" w:hAnsi="JetBrains Mono"/>
          <w:b/>
          <w:bCs/>
          <w:color w:val="7F6428"/>
          <w:spacing w:val="80"/>
          <w:sz w:val="22"/>
          <w:szCs w:val="22"/>
        </w:rPr>
        <w:t xml:space="preserve">FACTS</w:t>
      </w:r>
      <w:r>
        <w:rPr>
          <w:rFonts w:ascii="EB Garamond" w:cs="EB Garamond" w:eastAsia="EB Garamond" w:hAnsi="EB Garamond"/>
          <w:color w:val="2A2520"/>
          <w:sz w:val="20"/>
          <w:szCs w:val="20"/>
        </w:rPr>
        <w:t xml:space="preserve">   </w:t>
      </w:r>
      <w:r>
        <w:rPr>
          <w:rFonts w:ascii="Cormorant Garamond" w:cs="Cormorant Garamond" w:eastAsia="Cormorant Garamond" w:hAnsi="Cormorant Garamond"/>
          <w:i/>
          <w:iCs/>
          <w:color w:val="141019"/>
          <w:sz w:val="28"/>
          <w:szCs w:val="28"/>
        </w:rPr>
        <w:t xml:space="preserve">What does Intellicapital Advisors, LLC do with your personal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A8863A" w:sz="4"/>
              <w:left w:val="none" w:color="auto" w:sz="0"/>
              <w:bottom w:val="single" w:color="A8863A" w:sz="4"/>
              <w:right w:val="none" w:color="auto" w:sz="0"/>
            </w:tcBorders>
            <w:shd w:fill="EFE6D0" w:color="auto" w:val="clear"/>
            <w:tcMar>
              <w:top w:type="dxa" w:w="120"/>
              <w:left w:type="dxa" w:w="160"/>
              <w:bottom w:type="dxa" w:w="120"/>
              <w:right w:type="dxa" w:w="160"/>
            </w:tcMar>
          </w:tcPr>
          <w:p>
            <w:r>
              <w:rPr>
                <w:rFonts w:ascii="JetBrains Mono" w:cs="JetBrains Mono" w:eastAsia="JetBrains Mono" w:hAnsi="JetBrains Mono"/>
                <w:b/>
                <w:bCs/>
                <w:color w:val="A8863A"/>
                <w:spacing w:val="80"/>
                <w:sz w:val="16"/>
                <w:szCs w:val="16"/>
              </w:rPr>
              <w:t xml:space="preserve">WHY</w:t>
            </w:r>
          </w:p>
        </w:tc>
        <w:tc>
          <w:tcPr>
            <w:tcW w:type="dxa" w:w="7560"/>
            <w:tcBorders>
              <w:top w:val="single" w:color="A8863A" w:sz="4"/>
              <w:left w:val="none" w:color="auto" w:sz="0"/>
              <w:bottom w:val="single" w:color="A8863A" w:sz="4"/>
              <w:right w:val="none" w:color="auto" w:sz="0"/>
            </w:tcBorders>
            <w:shd w:fill="EFE6D0" w:color="auto" w:val="clear"/>
            <w:tcMar>
              <w:top w:type="dxa" w:w="120"/>
              <w:left w:type="dxa" w:w="160"/>
              <w:bottom w:type="dxa" w:w="120"/>
              <w:right w:type="dxa" w:w="200"/>
            </w:tcMar>
          </w:tcPr>
          <w:p>
            <w:pPr>
              <w:spacing w:line="260"/>
              <w:jc w:val="both"/>
            </w:pPr>
            <w:r>
              <w:rPr>
                <w:rFonts w:ascii="EB Garamond" w:cs="EB Garamond" w:eastAsia="EB Garamond" w:hAnsi="EB Garamond"/>
                <w:color w:val="2A2520"/>
                <w:sz w:val="20"/>
                <w:szCs w:val="20"/>
              </w:rPr>
              <w:t xml:space="preserve">Financial 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w:t>
            </w:r>
          </w:p>
        </w:tc>
      </w:tr>
      <w:tr>
        <w:tc>
          <w:tcPr>
            <w:tcW w:type="dxa" w:w="1800"/>
            <w:tcBorders>
              <w:top w:val="single" w:color="A8863A" w:sz="4"/>
              <w:left w:val="none" w:color="auto" w:sz="0"/>
              <w:bottom w:val="single" w:color="A8863A" w:sz="4"/>
              <w:right w:val="none" w:color="auto" w:sz="0"/>
            </w:tcBorders>
            <w:shd w:fill="EFE6D0" w:color="auto" w:val="clear"/>
            <w:tcMar>
              <w:top w:type="dxa" w:w="120"/>
              <w:left w:type="dxa" w:w="160"/>
              <w:bottom w:type="dxa" w:w="120"/>
              <w:right w:type="dxa" w:w="160"/>
            </w:tcMar>
          </w:tcPr>
          <w:p>
            <w:r>
              <w:rPr>
                <w:rFonts w:ascii="JetBrains Mono" w:cs="JetBrains Mono" w:eastAsia="JetBrains Mono" w:hAnsi="JetBrains Mono"/>
                <w:b/>
                <w:bCs/>
                <w:color w:val="A8863A"/>
                <w:spacing w:val="80"/>
                <w:sz w:val="16"/>
                <w:szCs w:val="16"/>
              </w:rPr>
              <w:t xml:space="preserve">WHAT</w:t>
            </w:r>
          </w:p>
        </w:tc>
        <w:tc>
          <w:tcPr>
            <w:tcW w:type="dxa" w:w="7560"/>
            <w:tcBorders>
              <w:top w:val="single" w:color="A8863A" w:sz="4"/>
              <w:left w:val="none" w:color="auto" w:sz="0"/>
              <w:bottom w:val="single" w:color="A8863A" w:sz="4"/>
              <w:right w:val="none" w:color="auto" w:sz="0"/>
            </w:tcBorders>
            <w:shd w:fill="EFE6D0" w:color="auto" w:val="clear"/>
            <w:tcMar>
              <w:top w:type="dxa" w:w="120"/>
              <w:left w:type="dxa" w:w="160"/>
              <w:bottom w:type="dxa" w:w="120"/>
              <w:right w:type="dxa" w:w="200"/>
            </w:tcMar>
          </w:tcPr>
          <w:p>
            <w:pPr>
              <w:spacing w:line="260"/>
              <w:jc w:val="both"/>
            </w:pPr>
            <w:r>
              <w:rPr>
                <w:rFonts w:ascii="EB Garamond" w:cs="EB Garamond" w:eastAsia="EB Garamond" w:hAnsi="EB Garamond"/>
                <w:color w:val="2A2520"/>
                <w:sz w:val="20"/>
                <w:szCs w:val="20"/>
              </w:rPr>
              <w:t xml:space="preserve">The types of personal information we collect and share depend on the product or service you have with us. This information can include: Social Security number and income; account balances and payment history; credit history and credit scores; bank account and routing numbers; transaction history from linked financial accounts; and investment objectives, risk tolerance, and financial planning data.</w:t>
            </w:r>
          </w:p>
        </w:tc>
      </w:tr>
      <w:tr>
        <w:tc>
          <w:tcPr>
            <w:tcW w:type="dxa" w:w="1800"/>
            <w:tcBorders>
              <w:top w:val="single" w:color="A8863A" w:sz="4"/>
              <w:left w:val="none" w:color="auto" w:sz="0"/>
              <w:bottom w:val="single" w:color="A8863A" w:sz="4"/>
              <w:right w:val="none" w:color="auto" w:sz="0"/>
            </w:tcBorders>
            <w:shd w:fill="EFE6D0" w:color="auto" w:val="clear"/>
            <w:tcMar>
              <w:top w:type="dxa" w:w="120"/>
              <w:left w:type="dxa" w:w="160"/>
              <w:bottom w:type="dxa" w:w="120"/>
              <w:right w:type="dxa" w:w="160"/>
            </w:tcMar>
          </w:tcPr>
          <w:p>
            <w:r>
              <w:rPr>
                <w:rFonts w:ascii="JetBrains Mono" w:cs="JetBrains Mono" w:eastAsia="JetBrains Mono" w:hAnsi="JetBrains Mono"/>
                <w:b/>
                <w:bCs/>
                <w:color w:val="A8863A"/>
                <w:spacing w:val="80"/>
                <w:sz w:val="16"/>
                <w:szCs w:val="16"/>
              </w:rPr>
              <w:t xml:space="preserve">HOW</w:t>
            </w:r>
          </w:p>
        </w:tc>
        <w:tc>
          <w:tcPr>
            <w:tcW w:type="dxa" w:w="7560"/>
            <w:tcBorders>
              <w:top w:val="single" w:color="A8863A" w:sz="4"/>
              <w:left w:val="none" w:color="auto" w:sz="0"/>
              <w:bottom w:val="single" w:color="A8863A" w:sz="4"/>
              <w:right w:val="none" w:color="auto" w:sz="0"/>
            </w:tcBorders>
            <w:shd w:fill="EFE6D0" w:color="auto" w:val="clear"/>
            <w:tcMar>
              <w:top w:type="dxa" w:w="120"/>
              <w:left w:type="dxa" w:w="160"/>
              <w:bottom w:type="dxa" w:w="120"/>
              <w:right w:type="dxa" w:w="200"/>
            </w:tcMar>
          </w:tcPr>
          <w:p>
            <w:pPr>
              <w:spacing w:line="260"/>
              <w:jc w:val="both"/>
            </w:pPr>
            <w:r>
              <w:rPr>
                <w:rFonts w:ascii="EB Garamond" w:cs="EB Garamond" w:eastAsia="EB Garamond" w:hAnsi="EB Garamond"/>
                <w:color w:val="2A2520"/>
                <w:sz w:val="20"/>
                <w:szCs w:val="20"/>
              </w:rPr>
              <w:t xml:space="preserve">All financial companies need to share customers’ personal information to run their everyday business. In the section below, we list the reasons financial companies can share their customers’ personal information, the reasons we choose to share, and whether you can limit this sharing.</w:t>
            </w:r>
          </w:p>
        </w:tc>
      </w:tr>
    </w:tbl>
    <w:p>
      <w:pPr>
        <w:spacing w:after="80" w:before="80" w:line="280"/>
        <w:jc w:val="both"/>
      </w:pPr>
      <w:r>
        <w:rPr>
          <w:rFonts w:ascii="EB Garamond" w:cs="EB Garamond" w:eastAsia="EB Garamond" w:hAnsi="EB Garamond"/>
          <w:color w:val="2A2520"/>
          <w:sz w:val="20"/>
          <w:szCs w:val="20"/>
        </w:rPr>
        <w:t xml:space="preserve"> </w:t>
      </w:r>
    </w:p>
    <w:p>
      <w:pPr>
        <w:spacing w:after="40" w:before="280"/>
      </w:pPr>
      <w:r>
        <w:rPr>
          <w:rFonts w:ascii="JetBrains Mono" w:cs="JetBrains Mono" w:eastAsia="JetBrains Mono" w:hAnsi="JetBrains Mono"/>
          <w:color w:val="A8863A"/>
          <w:spacing w:val="60"/>
          <w:sz w:val="14"/>
          <w:szCs w:val="14"/>
        </w:rPr>
        <w:t xml:space="preserve">·  How We Share  ·</w:t>
      </w:r>
    </w:p>
    <w:p>
      <w:pPr>
        <w:pBdr>
          <w:bottom w:val="single" w:color="A8863A" w:sz="4" w:space="4"/>
        </w:pBdr>
        <w:spacing w:after="140" w:before="20"/>
      </w:pPr>
      <w:r>
        <w:rPr>
          <w:rFonts w:ascii="Cormorant Garamond" w:cs="Cormorant Garamond" w:eastAsia="Cormorant Garamond" w:hAnsi="Cormorant Garamond"/>
          <w:i/>
          <w:iCs/>
          <w:color w:val="141019"/>
          <w:sz w:val="32"/>
          <w:szCs w:val="32"/>
        </w:rPr>
        <w:t xml:space="preserve">Reasons we share and what you can limit</w:t>
      </w:r>
    </w:p>
    <w:p>
      <w:pPr>
        <w:spacing w:after="80" w:before="80" w:line="280"/>
        <w:jc w:val="both"/>
      </w:pPr>
      <w:r>
        <w:rPr>
          <w:rFonts w:ascii="EB Garamond" w:cs="EB Garamond" w:eastAsia="EB Garamond" w:hAnsi="EB Garamond"/>
          <w:color w:val="2A2520"/>
          <w:sz w:val="20"/>
          <w:szCs w:val="20"/>
        </w:rPr>
        <w:t xml:space="preserve">All financial companies need to share customers’ personal information to run their everyday business. The table below lists the reasons we can share your personal information, the reasons we choose to share, and whether you can limit our sharing.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1800"/>
        <w:gridCol w:w="1800"/>
      </w:tblGrid>
      <w:tr>
        <w:tc>
          <w:tcPr>
            <w:tcBorders>
              <w:top w:val="single" w:color="A8863A" w:sz="6"/>
              <w:left w:val="none" w:color="auto" w:sz="0"/>
              <w:bottom w:val="single" w:color="A8863A" w:sz="4"/>
              <w:right w:val="none" w:color="auto" w:sz="0"/>
            </w:tcBorders>
            <w:shd w:fill="E4D9BE" w:color="auto" w:val="clear"/>
            <w:tcMar>
              <w:top w:type="dxa" w:w="100"/>
              <w:left w:type="dxa" w:w="140"/>
              <w:bottom w:type="dxa" w:w="100"/>
              <w:right w:type="dxa" w:w="140"/>
            </w:tcMar>
          </w:tcPr>
          <w:p>
            <w:r>
              <w:rPr>
                <w:rFonts w:ascii="JetBrains Mono" w:cs="JetBrains Mono" w:eastAsia="JetBrains Mono" w:hAnsi="JetBrains Mono"/>
                <w:b/>
                <w:bCs/>
                <w:color w:val="7F6428"/>
                <w:spacing w:val="80"/>
                <w:sz w:val="13"/>
                <w:szCs w:val="13"/>
              </w:rPr>
              <w:t xml:space="preserve">REASONS WE CAN SHARE YOUR PERSONAL INFORMATION</w:t>
            </w:r>
          </w:p>
        </w:tc>
        <w:tc>
          <w:tcPr>
            <w:tcBorders>
              <w:top w:val="single" w:color="A8863A" w:sz="6"/>
              <w:left w:val="none" w:color="auto" w:sz="0"/>
              <w:bottom w:val="single" w:color="A8863A" w:sz="4"/>
              <w:right w:val="none" w:color="auto" w:sz="0"/>
            </w:tcBorders>
            <w:shd w:fill="E4D9BE" w:color="auto" w:val="clear"/>
            <w:tcMar>
              <w:top w:type="dxa" w:w="100"/>
              <w:left w:type="dxa" w:w="140"/>
              <w:bottom w:type="dxa" w:w="100"/>
              <w:right w:type="dxa" w:w="140"/>
            </w:tcMar>
          </w:tcPr>
          <w:p>
            <w:r>
              <w:rPr>
                <w:rFonts w:ascii="JetBrains Mono" w:cs="JetBrains Mono" w:eastAsia="JetBrains Mono" w:hAnsi="JetBrains Mono"/>
                <w:b/>
                <w:bCs/>
                <w:color w:val="7F6428"/>
                <w:spacing w:val="80"/>
                <w:sz w:val="13"/>
                <w:szCs w:val="13"/>
              </w:rPr>
              <w:t xml:space="preserve">DO WE SHARE?</w:t>
            </w:r>
          </w:p>
        </w:tc>
        <w:tc>
          <w:tcPr>
            <w:tcBorders>
              <w:top w:val="single" w:color="A8863A" w:sz="6"/>
              <w:left w:val="none" w:color="auto" w:sz="0"/>
              <w:bottom w:val="single" w:color="A8863A" w:sz="4"/>
              <w:right w:val="none" w:color="auto" w:sz="0"/>
            </w:tcBorders>
            <w:shd w:fill="E4D9BE" w:color="auto" w:val="clear"/>
            <w:tcMar>
              <w:top w:type="dxa" w:w="100"/>
              <w:left w:type="dxa" w:w="140"/>
              <w:bottom w:type="dxa" w:w="100"/>
              <w:right w:type="dxa" w:w="140"/>
            </w:tcMar>
          </w:tcPr>
          <w:p>
            <w:r>
              <w:rPr>
                <w:rFonts w:ascii="JetBrains Mono" w:cs="JetBrains Mono" w:eastAsia="JetBrains Mono" w:hAnsi="JetBrains Mono"/>
                <w:b/>
                <w:bCs/>
                <w:color w:val="7F6428"/>
                <w:spacing w:val="80"/>
                <w:sz w:val="13"/>
                <w:szCs w:val="13"/>
              </w:rPr>
              <w:t xml:space="preserve">CAN YOU LIMIT?</w:t>
            </w:r>
          </w:p>
        </w:tc>
      </w:tr>
      <w:tr>
        <w:tc>
          <w:tcPr>
            <w:tcW w:type="dxa" w:w="5760"/>
            <w:tcBorders>
              <w:top w:val="none" w:color="auto" w:sz="0"/>
              <w:left w:val="none" w:color="auto" w:sz="0"/>
              <w:bottom w:val="single" w:color="E4D9BE" w:sz="2"/>
              <w:right w:val="none" w:color="auto" w:sz="0"/>
            </w:tcBorders>
            <w:tcMar>
              <w:top w:type="dxa" w:w="100"/>
              <w:left w:type="dxa" w:w="140"/>
              <w:bottom w:type="dxa" w:w="100"/>
              <w:right w:type="dxa" w:w="140"/>
            </w:tcMar>
          </w:tcPr>
          <w:p>
            <w:pPr>
              <w:spacing w:line="260"/>
            </w:pPr>
            <w:r>
              <w:rPr>
                <w:rFonts w:ascii="EB Garamond" w:cs="EB Garamond" w:eastAsia="EB Garamond" w:hAnsi="EB Garamond"/>
                <w:color w:val="2A2520"/>
                <w:sz w:val="20"/>
                <w:szCs w:val="20"/>
              </w:rPr>
              <w:t xml:space="preserve">For our everyday business purposes — such as to process your transactions, maintain your account(s), respond to court orders and legal investigations, or report to credit bureaus</w:t>
            </w:r>
          </w:p>
        </w:tc>
        <w:tc>
          <w:tcPr>
            <w:tcW w:type="dxa" w:w="1800"/>
            <w:tcBorders>
              <w:top w:val="none" w:color="auto" w:sz="0"/>
              <w:left w:val="none" w:color="auto" w:sz="0"/>
              <w:bottom w:val="single" w:color="E4D9BE" w:sz="2"/>
              <w:right w:val="none" w:color="auto" w:sz="0"/>
            </w:tcBorders>
            <w:tcMar>
              <w:top w:type="dxa" w:w="100"/>
              <w:left w:type="dxa" w:w="140"/>
              <w:bottom w:type="dxa" w:w="100"/>
              <w:right w:type="dxa" w:w="140"/>
            </w:tcMar>
          </w:tcPr>
          <w:p>
            <w:pPr>
              <w:jc w:val="center"/>
            </w:pPr>
            <w:r>
              <w:rPr>
                <w:rFonts w:ascii="JetBrains Mono" w:cs="JetBrains Mono" w:eastAsia="JetBrains Mono" w:hAnsi="JetBrains Mono"/>
                <w:b/>
                <w:bCs/>
                <w:color w:val="7F6428"/>
                <w:sz w:val="18"/>
                <w:szCs w:val="18"/>
              </w:rPr>
              <w:t xml:space="preserve">Yes</w:t>
            </w:r>
          </w:p>
        </w:tc>
        <w:tc>
          <w:tcPr>
            <w:tcW w:type="dxa" w:w="1800"/>
            <w:tcBorders>
              <w:top w:val="none" w:color="auto" w:sz="0"/>
              <w:left w:val="none" w:color="auto" w:sz="0"/>
              <w:bottom w:val="single" w:color="E4D9BE" w:sz="2"/>
              <w:right w:val="none" w:color="auto" w:sz="0"/>
            </w:tcBorders>
            <w:tcMar>
              <w:top w:type="dxa" w:w="100"/>
              <w:left w:type="dxa" w:w="140"/>
              <w:bottom w:type="dxa" w:w="100"/>
              <w:right w:type="dxa" w:w="140"/>
            </w:tcMar>
          </w:tcPr>
          <w:p>
            <w:pPr>
              <w:jc w:val="center"/>
            </w:pPr>
            <w:r>
              <w:rPr>
                <w:rFonts w:ascii="JetBrains Mono" w:cs="JetBrains Mono" w:eastAsia="JetBrains Mono" w:hAnsi="JetBrains Mono"/>
                <w:b w:val="false"/>
                <w:bCs w:val="false"/>
                <w:color w:val="7C7060"/>
                <w:sz w:val="18"/>
                <w:szCs w:val="18"/>
              </w:rPr>
              <w:t xml:space="preserve">No</w:t>
            </w:r>
          </w:p>
        </w:tc>
      </w:tr>
      <w:tr>
        <w:tc>
          <w:tcPr>
            <w:tcW w:type="dxa" w:w="5760"/>
            <w:tcBorders>
              <w:top w:val="none" w:color="auto" w:sz="0"/>
              <w:left w:val="none" w:color="auto" w:sz="0"/>
              <w:bottom w:val="single" w:color="E4D9BE" w:sz="2"/>
              <w:right w:val="none" w:color="auto" w:sz="0"/>
            </w:tcBorders>
            <w:tcMar>
              <w:top w:type="dxa" w:w="100"/>
              <w:left w:type="dxa" w:w="140"/>
              <w:bottom w:type="dxa" w:w="100"/>
              <w:right w:type="dxa" w:w="140"/>
            </w:tcMar>
          </w:tcPr>
          <w:p>
            <w:pPr>
              <w:spacing w:line="260"/>
            </w:pPr>
            <w:r>
              <w:rPr>
                <w:rFonts w:ascii="EB Garamond" w:cs="EB Garamond" w:eastAsia="EB Garamond" w:hAnsi="EB Garamond"/>
                <w:color w:val="2A2520"/>
                <w:sz w:val="20"/>
                <w:szCs w:val="20"/>
              </w:rPr>
              <w:t xml:space="preserve">For our marketing purposes — to offer our products and services to you</w:t>
            </w:r>
          </w:p>
        </w:tc>
        <w:tc>
          <w:tcPr>
            <w:tcW w:type="dxa" w:w="1800"/>
            <w:tcBorders>
              <w:top w:val="none" w:color="auto" w:sz="0"/>
              <w:left w:val="none" w:color="auto" w:sz="0"/>
              <w:bottom w:val="single" w:color="E4D9BE" w:sz="2"/>
              <w:right w:val="none" w:color="auto" w:sz="0"/>
            </w:tcBorders>
            <w:tcMar>
              <w:top w:type="dxa" w:w="100"/>
              <w:left w:type="dxa" w:w="140"/>
              <w:bottom w:type="dxa" w:w="100"/>
              <w:right w:type="dxa" w:w="140"/>
            </w:tcMar>
          </w:tcPr>
          <w:p>
            <w:pPr>
              <w:jc w:val="center"/>
            </w:pPr>
            <w:r>
              <w:rPr>
                <w:rFonts w:ascii="JetBrains Mono" w:cs="JetBrains Mono" w:eastAsia="JetBrains Mono" w:hAnsi="JetBrains Mono"/>
                <w:b/>
                <w:bCs/>
                <w:color w:val="7F6428"/>
                <w:sz w:val="18"/>
                <w:szCs w:val="18"/>
              </w:rPr>
              <w:t xml:space="preserve">Yes</w:t>
            </w:r>
          </w:p>
        </w:tc>
        <w:tc>
          <w:tcPr>
            <w:tcW w:type="dxa" w:w="1800"/>
            <w:tcBorders>
              <w:top w:val="none" w:color="auto" w:sz="0"/>
              <w:left w:val="none" w:color="auto" w:sz="0"/>
              <w:bottom w:val="single" w:color="E4D9BE" w:sz="2"/>
              <w:right w:val="none" w:color="auto" w:sz="0"/>
            </w:tcBorders>
            <w:tcMar>
              <w:top w:type="dxa" w:w="100"/>
              <w:left w:type="dxa" w:w="140"/>
              <w:bottom w:type="dxa" w:w="100"/>
              <w:right w:type="dxa" w:w="140"/>
            </w:tcMar>
          </w:tcPr>
          <w:p>
            <w:pPr>
              <w:jc w:val="center"/>
            </w:pPr>
            <w:r>
              <w:rPr>
                <w:rFonts w:ascii="JetBrains Mono" w:cs="JetBrains Mono" w:eastAsia="JetBrains Mono" w:hAnsi="JetBrains Mono"/>
                <w:b w:val="false"/>
                <w:bCs w:val="false"/>
                <w:color w:val="7C7060"/>
                <w:sz w:val="18"/>
                <w:szCs w:val="18"/>
              </w:rPr>
              <w:t xml:space="preserve">No</w:t>
            </w:r>
          </w:p>
        </w:tc>
      </w:tr>
      <w:tr>
        <w:tc>
          <w:tcPr>
            <w:tcW w:type="dxa" w:w="5760"/>
            <w:tcBorders>
              <w:top w:val="none" w:color="auto" w:sz="0"/>
              <w:left w:val="none" w:color="auto" w:sz="0"/>
              <w:bottom w:val="single" w:color="E4D9BE" w:sz="2"/>
              <w:right w:val="none" w:color="auto" w:sz="0"/>
            </w:tcBorders>
            <w:tcMar>
              <w:top w:type="dxa" w:w="100"/>
              <w:left w:type="dxa" w:w="140"/>
              <w:bottom w:type="dxa" w:w="100"/>
              <w:right w:type="dxa" w:w="140"/>
            </w:tcMar>
          </w:tcPr>
          <w:p>
            <w:pPr>
              <w:spacing w:line="260"/>
            </w:pPr>
            <w:r>
              <w:rPr>
                <w:rFonts w:ascii="EB Garamond" w:cs="EB Garamond" w:eastAsia="EB Garamond" w:hAnsi="EB Garamond"/>
                <w:color w:val="2A2520"/>
                <w:sz w:val="20"/>
                <w:szCs w:val="20"/>
              </w:rPr>
              <w:t xml:space="preserve">For joint marketing with other financial companies</w:t>
            </w:r>
          </w:p>
        </w:tc>
        <w:tc>
          <w:tcPr>
            <w:tcW w:type="dxa" w:w="1800"/>
            <w:tcBorders>
              <w:top w:val="none" w:color="auto" w:sz="0"/>
              <w:left w:val="none" w:color="auto" w:sz="0"/>
              <w:bottom w:val="single" w:color="E4D9BE" w:sz="2"/>
              <w:right w:val="none" w:color="auto" w:sz="0"/>
            </w:tcBorders>
            <w:tcMar>
              <w:top w:type="dxa" w:w="100"/>
              <w:left w:type="dxa" w:w="140"/>
              <w:bottom w:type="dxa" w:w="100"/>
              <w:right w:type="dxa" w:w="140"/>
            </w:tcMar>
          </w:tcPr>
          <w:p>
            <w:pPr>
              <w:jc w:val="center"/>
            </w:pPr>
            <w:r>
              <w:rPr>
                <w:rFonts w:ascii="JetBrains Mono" w:cs="JetBrains Mono" w:eastAsia="JetBrains Mono" w:hAnsi="JetBrains Mono"/>
                <w:b w:val="false"/>
                <w:bCs w:val="false"/>
                <w:color w:val="7C7060"/>
                <w:sz w:val="18"/>
                <w:szCs w:val="18"/>
              </w:rPr>
              <w:t xml:space="preserve">No</w:t>
            </w:r>
          </w:p>
        </w:tc>
        <w:tc>
          <w:tcPr>
            <w:tcW w:type="dxa" w:w="1800"/>
            <w:tcBorders>
              <w:top w:val="none" w:color="auto" w:sz="0"/>
              <w:left w:val="none" w:color="auto" w:sz="0"/>
              <w:bottom w:val="single" w:color="E4D9BE" w:sz="2"/>
              <w:right w:val="none" w:color="auto" w:sz="0"/>
            </w:tcBorders>
            <w:tcMar>
              <w:top w:type="dxa" w:w="100"/>
              <w:left w:type="dxa" w:w="140"/>
              <w:bottom w:type="dxa" w:w="100"/>
              <w:right w:type="dxa" w:w="140"/>
            </w:tcMar>
          </w:tcPr>
          <w:p>
            <w:pPr>
              <w:jc w:val="center"/>
            </w:pPr>
            <w:r>
              <w:rPr>
                <w:rFonts w:ascii="JetBrains Mono" w:cs="JetBrains Mono" w:eastAsia="JetBrains Mono" w:hAnsi="JetBrains Mono"/>
                <w:b w:val="false"/>
                <w:bCs w:val="false"/>
                <w:color w:val="7C7060"/>
                <w:sz w:val="18"/>
                <w:szCs w:val="18"/>
              </w:rPr>
              <w:t xml:space="preserve">N/A</w:t>
            </w:r>
          </w:p>
        </w:tc>
      </w:tr>
      <w:tr>
        <w:tc>
          <w:tcPr>
            <w:tcW w:type="dxa" w:w="5760"/>
            <w:tcBorders>
              <w:top w:val="none" w:color="auto" w:sz="0"/>
              <w:left w:val="none" w:color="auto" w:sz="0"/>
              <w:bottom w:val="single" w:color="E4D9BE" w:sz="2"/>
              <w:right w:val="none" w:color="auto" w:sz="0"/>
            </w:tcBorders>
            <w:tcMar>
              <w:top w:type="dxa" w:w="100"/>
              <w:left w:type="dxa" w:w="140"/>
              <w:bottom w:type="dxa" w:w="100"/>
              <w:right w:type="dxa" w:w="140"/>
            </w:tcMar>
          </w:tcPr>
          <w:p>
            <w:pPr>
              <w:spacing w:line="260"/>
            </w:pPr>
            <w:r>
              <w:rPr>
                <w:rFonts w:ascii="EB Garamond" w:cs="EB Garamond" w:eastAsia="EB Garamond" w:hAnsi="EB Garamond"/>
                <w:color w:val="2A2520"/>
                <w:sz w:val="20"/>
                <w:szCs w:val="20"/>
              </w:rPr>
              <w:t xml:space="preserve">For our affiliates’ everyday business purposes — information about your transactions and experiences</w:t>
            </w:r>
          </w:p>
        </w:tc>
        <w:tc>
          <w:tcPr>
            <w:tcW w:type="dxa" w:w="1800"/>
            <w:tcBorders>
              <w:top w:val="none" w:color="auto" w:sz="0"/>
              <w:left w:val="none" w:color="auto" w:sz="0"/>
              <w:bottom w:val="single" w:color="E4D9BE" w:sz="2"/>
              <w:right w:val="none" w:color="auto" w:sz="0"/>
            </w:tcBorders>
            <w:tcMar>
              <w:top w:type="dxa" w:w="100"/>
              <w:left w:type="dxa" w:w="140"/>
              <w:bottom w:type="dxa" w:w="100"/>
              <w:right w:type="dxa" w:w="140"/>
            </w:tcMar>
          </w:tcPr>
          <w:p>
            <w:pPr>
              <w:jc w:val="center"/>
            </w:pPr>
            <w:r>
              <w:rPr>
                <w:rFonts w:ascii="JetBrains Mono" w:cs="JetBrains Mono" w:eastAsia="JetBrains Mono" w:hAnsi="JetBrains Mono"/>
                <w:b/>
                <w:bCs/>
                <w:color w:val="7F6428"/>
                <w:sz w:val="18"/>
                <w:szCs w:val="18"/>
              </w:rPr>
              <w:t xml:space="preserve">Yes</w:t>
            </w:r>
          </w:p>
        </w:tc>
        <w:tc>
          <w:tcPr>
            <w:tcW w:type="dxa" w:w="1800"/>
            <w:tcBorders>
              <w:top w:val="none" w:color="auto" w:sz="0"/>
              <w:left w:val="none" w:color="auto" w:sz="0"/>
              <w:bottom w:val="single" w:color="E4D9BE" w:sz="2"/>
              <w:right w:val="none" w:color="auto" w:sz="0"/>
            </w:tcBorders>
            <w:tcMar>
              <w:top w:type="dxa" w:w="100"/>
              <w:left w:type="dxa" w:w="140"/>
              <w:bottom w:type="dxa" w:w="100"/>
              <w:right w:type="dxa" w:w="140"/>
            </w:tcMar>
          </w:tcPr>
          <w:p>
            <w:pPr>
              <w:jc w:val="center"/>
            </w:pPr>
            <w:r>
              <w:rPr>
                <w:rFonts w:ascii="JetBrains Mono" w:cs="JetBrains Mono" w:eastAsia="JetBrains Mono" w:hAnsi="JetBrains Mono"/>
                <w:b/>
                <w:bCs/>
                <w:color w:val="7F6428"/>
                <w:sz w:val="18"/>
                <w:szCs w:val="18"/>
              </w:rPr>
              <w:t xml:space="preserve">Yes</w:t>
            </w:r>
          </w:p>
        </w:tc>
      </w:tr>
      <w:tr>
        <w:tc>
          <w:tcPr>
            <w:tcW w:type="dxa" w:w="5760"/>
            <w:tcBorders>
              <w:top w:val="none" w:color="auto" w:sz="0"/>
              <w:left w:val="none" w:color="auto" w:sz="0"/>
              <w:bottom w:val="single" w:color="E4D9BE" w:sz="2"/>
              <w:right w:val="none" w:color="auto" w:sz="0"/>
            </w:tcBorders>
            <w:tcMar>
              <w:top w:type="dxa" w:w="100"/>
              <w:left w:type="dxa" w:w="140"/>
              <w:bottom w:type="dxa" w:w="100"/>
              <w:right w:type="dxa" w:w="140"/>
            </w:tcMar>
          </w:tcPr>
          <w:p>
            <w:pPr>
              <w:spacing w:line="260"/>
            </w:pPr>
            <w:r>
              <w:rPr>
                <w:rFonts w:ascii="EB Garamond" w:cs="EB Garamond" w:eastAsia="EB Garamond" w:hAnsi="EB Garamond"/>
                <w:color w:val="2A2520"/>
                <w:sz w:val="20"/>
                <w:szCs w:val="20"/>
              </w:rPr>
              <w:t xml:space="preserve">For our affiliates’ everyday business purposes — information about your creditworthiness</w:t>
            </w:r>
          </w:p>
        </w:tc>
        <w:tc>
          <w:tcPr>
            <w:tcW w:type="dxa" w:w="1800"/>
            <w:tcBorders>
              <w:top w:val="none" w:color="auto" w:sz="0"/>
              <w:left w:val="none" w:color="auto" w:sz="0"/>
              <w:bottom w:val="single" w:color="E4D9BE" w:sz="2"/>
              <w:right w:val="none" w:color="auto" w:sz="0"/>
            </w:tcBorders>
            <w:tcMar>
              <w:top w:type="dxa" w:w="100"/>
              <w:left w:type="dxa" w:w="140"/>
              <w:bottom w:type="dxa" w:w="100"/>
              <w:right w:type="dxa" w:w="140"/>
            </w:tcMar>
          </w:tcPr>
          <w:p>
            <w:pPr>
              <w:jc w:val="center"/>
            </w:pPr>
            <w:r>
              <w:rPr>
                <w:rFonts w:ascii="JetBrains Mono" w:cs="JetBrains Mono" w:eastAsia="JetBrains Mono" w:hAnsi="JetBrains Mono"/>
                <w:b w:val="false"/>
                <w:bCs w:val="false"/>
                <w:color w:val="7C7060"/>
                <w:sz w:val="18"/>
                <w:szCs w:val="18"/>
              </w:rPr>
              <w:t xml:space="preserve">No</w:t>
            </w:r>
          </w:p>
        </w:tc>
        <w:tc>
          <w:tcPr>
            <w:tcW w:type="dxa" w:w="1800"/>
            <w:tcBorders>
              <w:top w:val="none" w:color="auto" w:sz="0"/>
              <w:left w:val="none" w:color="auto" w:sz="0"/>
              <w:bottom w:val="single" w:color="E4D9BE" w:sz="2"/>
              <w:right w:val="none" w:color="auto" w:sz="0"/>
            </w:tcBorders>
            <w:tcMar>
              <w:top w:type="dxa" w:w="100"/>
              <w:left w:type="dxa" w:w="140"/>
              <w:bottom w:type="dxa" w:w="100"/>
              <w:right w:type="dxa" w:w="140"/>
            </w:tcMar>
          </w:tcPr>
          <w:p>
            <w:pPr>
              <w:jc w:val="center"/>
            </w:pPr>
            <w:r>
              <w:rPr>
                <w:rFonts w:ascii="JetBrains Mono" w:cs="JetBrains Mono" w:eastAsia="JetBrains Mono" w:hAnsi="JetBrains Mono"/>
                <w:b w:val="false"/>
                <w:bCs w:val="false"/>
                <w:color w:val="7C7060"/>
                <w:sz w:val="18"/>
                <w:szCs w:val="18"/>
              </w:rPr>
              <w:t xml:space="preserve">N/A</w:t>
            </w:r>
          </w:p>
        </w:tc>
      </w:tr>
      <w:tr>
        <w:tc>
          <w:tcPr>
            <w:tcW w:type="dxa" w:w="5760"/>
            <w:tcBorders>
              <w:top w:val="none" w:color="auto" w:sz="0"/>
              <w:left w:val="none" w:color="auto" w:sz="0"/>
              <w:bottom w:val="single" w:color="E4D9BE" w:sz="2"/>
              <w:right w:val="none" w:color="auto" w:sz="0"/>
            </w:tcBorders>
            <w:tcMar>
              <w:top w:type="dxa" w:w="100"/>
              <w:left w:type="dxa" w:w="140"/>
              <w:bottom w:type="dxa" w:w="100"/>
              <w:right w:type="dxa" w:w="140"/>
            </w:tcMar>
          </w:tcPr>
          <w:p>
            <w:pPr>
              <w:spacing w:line="260"/>
            </w:pPr>
            <w:r>
              <w:rPr>
                <w:rFonts w:ascii="EB Garamond" w:cs="EB Garamond" w:eastAsia="EB Garamond" w:hAnsi="EB Garamond"/>
                <w:color w:val="2A2520"/>
                <w:sz w:val="20"/>
                <w:szCs w:val="20"/>
              </w:rPr>
              <w:t xml:space="preserve">For our affiliates to market to you</w:t>
            </w:r>
          </w:p>
        </w:tc>
        <w:tc>
          <w:tcPr>
            <w:tcW w:type="dxa" w:w="1800"/>
            <w:tcBorders>
              <w:top w:val="none" w:color="auto" w:sz="0"/>
              <w:left w:val="none" w:color="auto" w:sz="0"/>
              <w:bottom w:val="single" w:color="E4D9BE" w:sz="2"/>
              <w:right w:val="none" w:color="auto" w:sz="0"/>
            </w:tcBorders>
            <w:tcMar>
              <w:top w:type="dxa" w:w="100"/>
              <w:left w:type="dxa" w:w="140"/>
              <w:bottom w:type="dxa" w:w="100"/>
              <w:right w:type="dxa" w:w="140"/>
            </w:tcMar>
          </w:tcPr>
          <w:p>
            <w:pPr>
              <w:jc w:val="center"/>
            </w:pPr>
            <w:r>
              <w:rPr>
                <w:rFonts w:ascii="JetBrains Mono" w:cs="JetBrains Mono" w:eastAsia="JetBrains Mono" w:hAnsi="JetBrains Mono"/>
                <w:b w:val="false"/>
                <w:bCs w:val="false"/>
                <w:color w:val="7C7060"/>
                <w:sz w:val="18"/>
                <w:szCs w:val="18"/>
              </w:rPr>
              <w:t xml:space="preserve">No</w:t>
            </w:r>
          </w:p>
        </w:tc>
        <w:tc>
          <w:tcPr>
            <w:tcW w:type="dxa" w:w="1800"/>
            <w:tcBorders>
              <w:top w:val="none" w:color="auto" w:sz="0"/>
              <w:left w:val="none" w:color="auto" w:sz="0"/>
              <w:bottom w:val="single" w:color="E4D9BE" w:sz="2"/>
              <w:right w:val="none" w:color="auto" w:sz="0"/>
            </w:tcBorders>
            <w:tcMar>
              <w:top w:type="dxa" w:w="100"/>
              <w:left w:type="dxa" w:w="140"/>
              <w:bottom w:type="dxa" w:w="100"/>
              <w:right w:type="dxa" w:w="140"/>
            </w:tcMar>
          </w:tcPr>
          <w:p>
            <w:pPr>
              <w:jc w:val="center"/>
            </w:pPr>
            <w:r>
              <w:rPr>
                <w:rFonts w:ascii="JetBrains Mono" w:cs="JetBrains Mono" w:eastAsia="JetBrains Mono" w:hAnsi="JetBrains Mono"/>
                <w:b w:val="false"/>
                <w:bCs w:val="false"/>
                <w:color w:val="7C7060"/>
                <w:sz w:val="18"/>
                <w:szCs w:val="18"/>
              </w:rPr>
              <w:t xml:space="preserve">N/A</w:t>
            </w:r>
          </w:p>
        </w:tc>
      </w:tr>
      <w:tr>
        <w:tc>
          <w:tcPr>
            <w:tcW w:type="dxa" w:w="5760"/>
            <w:tcBorders>
              <w:top w:val="none" w:color="auto" w:sz="0"/>
              <w:left w:val="none" w:color="auto" w:sz="0"/>
              <w:bottom w:val="single" w:color="E4D9BE" w:sz="2"/>
              <w:right w:val="none" w:color="auto" w:sz="0"/>
            </w:tcBorders>
            <w:tcMar>
              <w:top w:type="dxa" w:w="100"/>
              <w:left w:type="dxa" w:w="140"/>
              <w:bottom w:type="dxa" w:w="100"/>
              <w:right w:type="dxa" w:w="140"/>
            </w:tcMar>
          </w:tcPr>
          <w:p>
            <w:pPr>
              <w:spacing w:line="260"/>
            </w:pPr>
            <w:r>
              <w:rPr>
                <w:rFonts w:ascii="EB Garamond" w:cs="EB Garamond" w:eastAsia="EB Garamond" w:hAnsi="EB Garamond"/>
                <w:color w:val="2A2520"/>
                <w:sz w:val="20"/>
                <w:szCs w:val="20"/>
              </w:rPr>
              <w:t xml:space="preserve">For non-affiliates to market to you</w:t>
            </w:r>
          </w:p>
        </w:tc>
        <w:tc>
          <w:tcPr>
            <w:tcW w:type="dxa" w:w="1800"/>
            <w:tcBorders>
              <w:top w:val="none" w:color="auto" w:sz="0"/>
              <w:left w:val="none" w:color="auto" w:sz="0"/>
              <w:bottom w:val="single" w:color="E4D9BE" w:sz="2"/>
              <w:right w:val="none" w:color="auto" w:sz="0"/>
            </w:tcBorders>
            <w:tcMar>
              <w:top w:type="dxa" w:w="100"/>
              <w:left w:type="dxa" w:w="140"/>
              <w:bottom w:type="dxa" w:w="100"/>
              <w:right w:type="dxa" w:w="140"/>
            </w:tcMar>
          </w:tcPr>
          <w:p>
            <w:pPr>
              <w:jc w:val="center"/>
            </w:pPr>
            <w:r>
              <w:rPr>
                <w:rFonts w:ascii="JetBrains Mono" w:cs="JetBrains Mono" w:eastAsia="JetBrains Mono" w:hAnsi="JetBrains Mono"/>
                <w:b w:val="false"/>
                <w:bCs w:val="false"/>
                <w:color w:val="7C7060"/>
                <w:sz w:val="18"/>
                <w:szCs w:val="18"/>
              </w:rPr>
              <w:t xml:space="preserve">No</w:t>
            </w:r>
          </w:p>
        </w:tc>
        <w:tc>
          <w:tcPr>
            <w:tcW w:type="dxa" w:w="1800"/>
            <w:tcBorders>
              <w:top w:val="none" w:color="auto" w:sz="0"/>
              <w:left w:val="none" w:color="auto" w:sz="0"/>
              <w:bottom w:val="single" w:color="E4D9BE" w:sz="2"/>
              <w:right w:val="none" w:color="auto" w:sz="0"/>
            </w:tcBorders>
            <w:tcMar>
              <w:top w:type="dxa" w:w="100"/>
              <w:left w:type="dxa" w:w="140"/>
              <w:bottom w:type="dxa" w:w="100"/>
              <w:right w:type="dxa" w:w="140"/>
            </w:tcMar>
          </w:tcPr>
          <w:p>
            <w:pPr>
              <w:jc w:val="center"/>
            </w:pPr>
            <w:r>
              <w:rPr>
                <w:rFonts w:ascii="JetBrains Mono" w:cs="JetBrains Mono" w:eastAsia="JetBrains Mono" w:hAnsi="JetBrains Mono"/>
                <w:b w:val="false"/>
                <w:bCs w:val="false"/>
                <w:color w:val="7C7060"/>
                <w:sz w:val="18"/>
                <w:szCs w:val="18"/>
              </w:rPr>
              <w:t xml:space="preserve">N/A</w:t>
            </w:r>
          </w:p>
        </w:tc>
      </w:tr>
      <w:tr>
        <w:tc>
          <w:tcPr>
            <w:tcW w:type="dxa" w:w="5760"/>
            <w:tcBorders>
              <w:top w:val="none" w:color="auto" w:sz="0"/>
              <w:left w:val="none" w:color="auto" w:sz="0"/>
              <w:bottom w:val="single" w:color="E4D9BE" w:sz="2"/>
              <w:right w:val="none" w:color="auto" w:sz="0"/>
            </w:tcBorders>
            <w:tcMar>
              <w:top w:type="dxa" w:w="100"/>
              <w:left w:type="dxa" w:w="140"/>
              <w:bottom w:type="dxa" w:w="100"/>
              <w:right w:type="dxa" w:w="140"/>
            </w:tcMar>
          </w:tcPr>
          <w:p>
            <w:pPr>
              <w:spacing w:line="260"/>
            </w:pPr>
            <w:r>
              <w:rPr>
                <w:rFonts w:ascii="EB Garamond" w:cs="EB Garamond" w:eastAsia="EB Garamond" w:hAnsi="EB Garamond"/>
                <w:color w:val="2A2520"/>
                <w:sz w:val="20"/>
                <w:szCs w:val="20"/>
              </w:rPr>
              <w:t xml:space="preserve">For processing by third-party service providers (custodians, technology vendors, compliance partners) operating under written confidentiality agreements</w:t>
            </w:r>
          </w:p>
        </w:tc>
        <w:tc>
          <w:tcPr>
            <w:tcW w:type="dxa" w:w="1800"/>
            <w:tcBorders>
              <w:top w:val="none" w:color="auto" w:sz="0"/>
              <w:left w:val="none" w:color="auto" w:sz="0"/>
              <w:bottom w:val="single" w:color="E4D9BE" w:sz="2"/>
              <w:right w:val="none" w:color="auto" w:sz="0"/>
            </w:tcBorders>
            <w:tcMar>
              <w:top w:type="dxa" w:w="100"/>
              <w:left w:type="dxa" w:w="140"/>
              <w:bottom w:type="dxa" w:w="100"/>
              <w:right w:type="dxa" w:w="140"/>
            </w:tcMar>
          </w:tcPr>
          <w:p>
            <w:pPr>
              <w:jc w:val="center"/>
            </w:pPr>
            <w:r>
              <w:rPr>
                <w:rFonts w:ascii="JetBrains Mono" w:cs="JetBrains Mono" w:eastAsia="JetBrains Mono" w:hAnsi="JetBrains Mono"/>
                <w:b/>
                <w:bCs/>
                <w:color w:val="7F6428"/>
                <w:sz w:val="18"/>
                <w:szCs w:val="18"/>
              </w:rPr>
              <w:t xml:space="preserve">Yes</w:t>
            </w:r>
          </w:p>
        </w:tc>
        <w:tc>
          <w:tcPr>
            <w:tcW w:type="dxa" w:w="1800"/>
            <w:tcBorders>
              <w:top w:val="none" w:color="auto" w:sz="0"/>
              <w:left w:val="none" w:color="auto" w:sz="0"/>
              <w:bottom w:val="single" w:color="E4D9BE" w:sz="2"/>
              <w:right w:val="none" w:color="auto" w:sz="0"/>
            </w:tcBorders>
            <w:tcMar>
              <w:top w:type="dxa" w:w="100"/>
              <w:left w:type="dxa" w:w="140"/>
              <w:bottom w:type="dxa" w:w="100"/>
              <w:right w:type="dxa" w:w="140"/>
            </w:tcMar>
          </w:tcPr>
          <w:p>
            <w:pPr>
              <w:jc w:val="center"/>
            </w:pPr>
            <w:r>
              <w:rPr>
                <w:rFonts w:ascii="JetBrains Mono" w:cs="JetBrains Mono" w:eastAsia="JetBrains Mono" w:hAnsi="JetBrains Mono"/>
                <w:b w:val="false"/>
                <w:bCs w:val="false"/>
                <w:color w:val="7C7060"/>
                <w:sz w:val="18"/>
                <w:szCs w:val="18"/>
              </w:rPr>
              <w:t xml:space="preserve">No</w:t>
            </w:r>
          </w:p>
        </w:tc>
      </w:tr>
    </w:tbl>
    <w:p>
      <w:pPr>
        <w:spacing w:after="80" w:before="80" w:line="280"/>
        <w:jc w:val="both"/>
      </w:pPr>
      <w:r>
        <w:rPr>
          <w:rFonts w:ascii="EB Garamond" w:cs="EB Garamond" w:eastAsia="EB Garamond" w:hAnsi="EB Garamond"/>
          <w:color w:val="2A2520"/>
          <w:sz w:val="20"/>
          <w:szCs w:val="20"/>
        </w:rPr>
        <w:t xml:space="preserve"> </w:t>
      </w:r>
    </w:p>
    <w:p>
      <w:pPr>
        <w:spacing w:after="80" w:before="80" w:line="280"/>
        <w:jc w:val="both"/>
      </w:pPr>
      <w:r>
        <w:rPr>
          <w:rFonts w:ascii="EB Garamond" w:cs="EB Garamond" w:eastAsia="EB Garamond" w:hAnsi="EB Garamond"/>
          <w:b/>
          <w:bCs/>
          <w:color w:val="7F6428"/>
          <w:sz w:val="20"/>
          <w:szCs w:val="20"/>
        </w:rPr>
        <w:t xml:space="preserve">To limit our sharing: </w:t>
      </w:r>
      <w:r>
        <w:rPr>
          <w:rFonts w:ascii="EB Garamond" w:cs="EB Garamond" w:eastAsia="EB Garamond" w:hAnsi="EB Garamond"/>
          <w:color w:val="2A2520"/>
          <w:sz w:val="20"/>
          <w:szCs w:val="20"/>
        </w:rPr>
        <w:t xml:space="preserve">Call (866) 438-1958, email bafa@intellicapital.com, or mail the opt-out form at the end of this notice.</w:t>
      </w:r>
    </w:p>
    <w:p>
      <w:pPr>
        <w:spacing w:after="40" w:before="280"/>
      </w:pPr>
      <w:r>
        <w:rPr>
          <w:rFonts w:ascii="JetBrains Mono" w:cs="JetBrains Mono" w:eastAsia="JetBrains Mono" w:hAnsi="JetBrains Mono"/>
          <w:color w:val="A8863A"/>
          <w:spacing w:val="60"/>
          <w:sz w:val="14"/>
          <w:szCs w:val="14"/>
        </w:rPr>
        <w:t xml:space="preserve">·  Who We Are  ·</w:t>
      </w:r>
    </w:p>
    <w:p>
      <w:pPr>
        <w:pBdr>
          <w:bottom w:val="single" w:color="A8863A" w:sz="4" w:space="4"/>
        </w:pBdr>
        <w:spacing w:after="140" w:before="20"/>
      </w:pPr>
      <w:r>
        <w:rPr>
          <w:rFonts w:ascii="Cormorant Garamond" w:cs="Cormorant Garamond" w:eastAsia="Cormorant Garamond" w:hAnsi="Cormorant Garamond"/>
          <w:i/>
          <w:iCs/>
          <w:color w:val="141019"/>
          <w:sz w:val="32"/>
          <w:szCs w:val="32"/>
        </w:rPr>
        <w:t xml:space="preserve">Who is providing this notice?</w:t>
      </w:r>
    </w:p>
    <w:p>
      <w:pPr>
        <w:spacing w:after="80" w:before="80" w:line="280"/>
        <w:jc w:val="both"/>
      </w:pPr>
      <w:r>
        <w:rPr>
          <w:rFonts w:ascii="EB Garamond" w:cs="EB Garamond" w:eastAsia="EB Garamond" w:hAnsi="EB Garamond"/>
          <w:color w:val="2A2520"/>
          <w:sz w:val="20"/>
          <w:szCs w:val="20"/>
        </w:rPr>
        <w:t xml:space="preserve">Intellicapital Advisors, LLC (“IAL”), an SEC-registered investment adviser (CRD# 316908, SEC File# 801-135277) headquartered in Ponte Vedra Beach, Florida. IAL provides comprehensive wealth management services including financial planning, investment advisory, tax coordination, and estate planning facilitation to individuals and families.</w:t>
      </w:r>
    </w:p>
    <w:p>
      <w:pPr>
        <w:spacing w:after="40" w:before="280"/>
      </w:pPr>
      <w:r>
        <w:rPr>
          <w:rFonts w:ascii="JetBrains Mono" w:cs="JetBrains Mono" w:eastAsia="JetBrains Mono" w:hAnsi="JetBrains Mono"/>
          <w:color w:val="A8863A"/>
          <w:spacing w:val="60"/>
          <w:sz w:val="14"/>
          <w:szCs w:val="14"/>
        </w:rPr>
        <w:t xml:space="preserve">·  What We Do  ·</w:t>
      </w:r>
    </w:p>
    <w:p>
      <w:pPr>
        <w:pBdr>
          <w:bottom w:val="single" w:color="A8863A" w:sz="4" w:space="4"/>
        </w:pBdr>
        <w:spacing w:after="140" w:before="20"/>
      </w:pPr>
      <w:r>
        <w:rPr>
          <w:rFonts w:ascii="Cormorant Garamond" w:cs="Cormorant Garamond" w:eastAsia="Cormorant Garamond" w:hAnsi="Cormorant Garamond"/>
          <w:i/>
          <w:iCs/>
          <w:color w:val="141019"/>
          <w:sz w:val="32"/>
          <w:szCs w:val="32"/>
        </w:rPr>
        <w:t xml:space="preserve">How does IAL protect my personal information?</w:t>
      </w:r>
    </w:p>
    <w:p>
      <w:pPr>
        <w:spacing w:after="80" w:before="80" w:line="280"/>
        <w:jc w:val="both"/>
      </w:pPr>
      <w:r>
        <w:rPr>
          <w:rFonts w:ascii="EB Garamond" w:cs="EB Garamond" w:eastAsia="EB Garamond" w:hAnsi="EB Garamond"/>
          <w:color w:val="2A2520"/>
          <w:sz w:val="20"/>
          <w:szCs w:val="20"/>
        </w:rPr>
        <w:t xml:space="preserve">To protect your personal information from unauthorized access and use, we maintain a comprehensive information security program that complies with federal law, including the amended requirements of SEC Regulation S-P (effective June 3, 2026 for smaller entities). Our safeguards include: encryption of sensitive client data at rest and in transit (TLS 1.2+, AES-256); multi-factor authentication required for all personnel and client portal access; role-based access controls; continuous monitoring and audit logging; PII-redacting logging systems; annual risk assessments and penetration testing; and employee security awareness training.</w:t>
      </w:r>
    </w:p>
    <w:p>
      <w:pPr>
        <w:spacing w:after="60" w:before="200"/>
      </w:pPr>
      <w:r>
        <w:rPr>
          <w:rFonts w:ascii="Cormorant Garamond" w:cs="Cormorant Garamond" w:eastAsia="Cormorant Garamond" w:hAnsi="Cormorant Garamond"/>
          <w:i/>
          <w:iCs/>
          <w:color w:val="141019"/>
          <w:sz w:val="24"/>
          <w:szCs w:val="24"/>
        </w:rPr>
        <w:t xml:space="preserve">Incident response &amp; breach notification</w:t>
      </w:r>
    </w:p>
    <w:p>
      <w:pPr>
        <w:spacing w:after="80" w:before="80" w:line="280"/>
        <w:jc w:val="both"/>
      </w:pPr>
      <w:r>
        <w:rPr>
          <w:rFonts w:ascii="EB Garamond" w:cs="EB Garamond" w:eastAsia="EB Garamond" w:hAnsi="EB Garamond"/>
          <w:color w:val="2A2520"/>
          <w:sz w:val="20"/>
          <w:szCs w:val="20"/>
        </w:rPr>
        <w:t xml:space="preserve">IAL maintains a written Incident Response Plan that is reasonably designed to detect, respond to, and recover from any unauthorized access to or use of customer information. If we become aware of an incident involving unauthorized access to or use of your sensitive customer information, we will notify you as soon as practicable, and no later than 30 days after becoming aware of the incident.</w:t>
      </w:r>
    </w:p>
    <w:p>
      <w:pPr>
        <w:spacing w:after="60" w:before="200"/>
      </w:pPr>
      <w:r>
        <w:rPr>
          <w:rFonts w:ascii="Cormorant Garamond" w:cs="Cormorant Garamond" w:eastAsia="Cormorant Garamond" w:hAnsi="Cormorant Garamond"/>
          <w:i/>
          <w:iCs/>
          <w:color w:val="141019"/>
          <w:sz w:val="24"/>
          <w:szCs w:val="24"/>
        </w:rPr>
        <w:t xml:space="preserve">Service provider oversight</w:t>
      </w:r>
    </w:p>
    <w:p>
      <w:pPr>
        <w:spacing w:after="80" w:before="80" w:line="280"/>
        <w:jc w:val="both"/>
      </w:pPr>
      <w:r>
        <w:rPr>
          <w:rFonts w:ascii="EB Garamond" w:cs="EB Garamond" w:eastAsia="EB Garamond" w:hAnsi="EB Garamond"/>
          <w:color w:val="2A2520"/>
          <w:sz w:val="20"/>
          <w:szCs w:val="20"/>
        </w:rPr>
        <w:t xml:space="preserve">IAL maintains written policies and procedures for the oversight of service providers that receive, maintain, or otherwise are permitted access to customer information. Service providers are contractually required to notify IAL within 72 hours of becoming aware of a breach involving customer information.</w:t>
      </w:r>
    </w:p>
    <w:p>
      <w:pPr>
        <w:spacing w:after="60" w:before="200"/>
      </w:pPr>
      <w:r>
        <w:rPr>
          <w:rFonts w:ascii="Cormorant Garamond" w:cs="Cormorant Garamond" w:eastAsia="Cormorant Garamond" w:hAnsi="Cormorant Garamond"/>
          <w:i/>
          <w:iCs/>
          <w:color w:val="141019"/>
          <w:sz w:val="24"/>
          <w:szCs w:val="24"/>
        </w:rPr>
        <w:t xml:space="preserve">Recordkeeping</w:t>
      </w:r>
    </w:p>
    <w:p>
      <w:pPr>
        <w:spacing w:after="80" w:before="80" w:line="280"/>
        <w:jc w:val="both"/>
      </w:pPr>
      <w:r>
        <w:rPr>
          <w:rFonts w:ascii="EB Garamond" w:cs="EB Garamond" w:eastAsia="EB Garamond" w:hAnsi="EB Garamond"/>
          <w:color w:val="2A2520"/>
          <w:sz w:val="20"/>
          <w:szCs w:val="20"/>
        </w:rPr>
        <w:t xml:space="preserve">IAL maintains records in accordance with SEC Rule 204-2 and the amended Regulation S-P requirements. Policies and procedures related to safeguarding customer information are retained for a minimum of 5 years. Client financial records and advisory documentation are retained for a minimum of 7 years per SEC Rule 204-2. Audit logs and access records are maintained with access controls and monitoring consistent with the Firm’s Information Security Policy (ISP v2.1).</w:t>
      </w:r>
    </w:p>
    <w:p>
      <w:pPr>
        <w:spacing w:after="40" w:before="280"/>
      </w:pPr>
      <w:r>
        <w:rPr>
          <w:rFonts w:ascii="JetBrains Mono" w:cs="JetBrains Mono" w:eastAsia="JetBrains Mono" w:hAnsi="JetBrains Mono"/>
          <w:color w:val="A8863A"/>
          <w:spacing w:val="60"/>
          <w:sz w:val="14"/>
          <w:szCs w:val="14"/>
        </w:rPr>
        <w:t xml:space="preserve">·  Definitions  ·</w:t>
      </w:r>
    </w:p>
    <w:p>
      <w:pPr>
        <w:pBdr>
          <w:bottom w:val="single" w:color="A8863A" w:sz="4" w:space="4"/>
        </w:pBdr>
        <w:spacing w:after="140" w:before="20"/>
      </w:pPr>
      <w:r>
        <w:rPr>
          <w:rFonts w:ascii="Cormorant Garamond" w:cs="Cormorant Garamond" w:eastAsia="Cormorant Garamond" w:hAnsi="Cormorant Garamond"/>
          <w:i/>
          <w:iCs/>
          <w:color w:val="141019"/>
          <w:sz w:val="32"/>
          <w:szCs w:val="32"/>
        </w:rPr>
        <w:t xml:space="preserve">Key terms used in this notice</w:t>
      </w:r>
    </w:p>
    <w:p>
      <w:pPr>
        <w:spacing w:after="80" w:before="80" w:line="280"/>
        <w:jc w:val="both"/>
      </w:pPr>
      <w:r>
        <w:rPr>
          <w:rFonts w:ascii="EB Garamond" w:cs="EB Garamond" w:eastAsia="EB Garamond" w:hAnsi="EB Garamond"/>
          <w:b/>
          <w:bCs/>
          <w:color w:val="7F6428"/>
          <w:sz w:val="20"/>
          <w:szCs w:val="20"/>
        </w:rPr>
        <w:t xml:space="preserve">Affiliates. </w:t>
      </w:r>
      <w:r>
        <w:rPr>
          <w:rFonts w:ascii="EB Garamond" w:cs="EB Garamond" w:eastAsia="EB Garamond" w:hAnsi="EB Garamond"/>
          <w:color w:val="2A2520"/>
          <w:sz w:val="20"/>
          <w:szCs w:val="20"/>
        </w:rPr>
        <w:t xml:space="preserve">Companies related by common ownership or control. IAL’s affiliates include BAFA Labs Incorporated and related entities under common ownership.</w:t>
      </w:r>
    </w:p>
    <w:p>
      <w:pPr>
        <w:spacing w:after="80" w:before="80" w:line="280"/>
        <w:jc w:val="both"/>
      </w:pPr>
      <w:r>
        <w:rPr>
          <w:rFonts w:ascii="EB Garamond" w:cs="EB Garamond" w:eastAsia="EB Garamond" w:hAnsi="EB Garamond"/>
          <w:b/>
          <w:bCs/>
          <w:color w:val="7F6428"/>
          <w:sz w:val="20"/>
          <w:szCs w:val="20"/>
        </w:rPr>
        <w:t xml:space="preserve">Non-affiliates. </w:t>
      </w:r>
      <w:r>
        <w:rPr>
          <w:rFonts w:ascii="EB Garamond" w:cs="EB Garamond" w:eastAsia="EB Garamond" w:hAnsi="EB Garamond"/>
          <w:color w:val="2A2520"/>
          <w:sz w:val="20"/>
          <w:szCs w:val="20"/>
        </w:rPr>
        <w:t xml:space="preserve">Companies not related by common ownership or control. IAL does not share with non-affiliates for marketing purposes.</w:t>
      </w:r>
    </w:p>
    <w:p>
      <w:pPr>
        <w:spacing w:after="80" w:before="80" w:line="280"/>
        <w:jc w:val="both"/>
      </w:pPr>
      <w:r>
        <w:rPr>
          <w:rFonts w:ascii="EB Garamond" w:cs="EB Garamond" w:eastAsia="EB Garamond" w:hAnsi="EB Garamond"/>
          <w:b/>
          <w:bCs/>
          <w:color w:val="7F6428"/>
          <w:sz w:val="20"/>
          <w:szCs w:val="20"/>
        </w:rPr>
        <w:t xml:space="preserve">Joint marketing. </w:t>
      </w:r>
      <w:r>
        <w:rPr>
          <w:rFonts w:ascii="EB Garamond" w:cs="EB Garamond" w:eastAsia="EB Garamond" w:hAnsi="EB Garamond"/>
          <w:color w:val="2A2520"/>
          <w:sz w:val="20"/>
          <w:szCs w:val="20"/>
        </w:rPr>
        <w:t xml:space="preserve">A formal agreement between nonaffiliated financial companies that together market financial products or services to you. IAL does not engage in joint marketing arrangements.</w:t>
      </w:r>
    </w:p>
    <w:p>
      <w:pPr>
        <w:spacing w:after="40" w:before="280"/>
      </w:pPr>
      <w:r>
        <w:rPr>
          <w:rFonts w:ascii="JetBrains Mono" w:cs="JetBrains Mono" w:eastAsia="JetBrains Mono" w:hAnsi="JetBrains Mono"/>
          <w:color w:val="A8863A"/>
          <w:spacing w:val="60"/>
          <w:sz w:val="14"/>
          <w:szCs w:val="14"/>
        </w:rPr>
        <w:t xml:space="preserve">·  Contact &amp; Governance  ·</w:t>
      </w:r>
    </w:p>
    <w:p>
      <w:pPr>
        <w:pBdr>
          <w:bottom w:val="single" w:color="A8863A" w:sz="4" w:space="4"/>
        </w:pBdr>
        <w:spacing w:after="140" w:before="20"/>
      </w:pPr>
      <w:r>
        <w:rPr>
          <w:rFonts w:ascii="Cormorant Garamond" w:cs="Cormorant Garamond" w:eastAsia="Cormorant Garamond" w:hAnsi="Cormorant Garamond"/>
          <w:i/>
          <w:iCs/>
          <w:color w:val="141019"/>
          <w:sz w:val="32"/>
          <w:szCs w:val="32"/>
        </w:rPr>
        <w:t xml:space="preserve">Policy governance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W w:type="dxa" w:w="3240"/>
            <w:tcBorders>
              <w:top w:val="none" w:color="auto" w:sz="0"/>
              <w:left w:val="none" w:color="auto" w:sz="0"/>
              <w:bottom w:val="single" w:color="E4D9BE" w:sz="2"/>
              <w:right w:val="none" w:color="auto" w:sz="0"/>
            </w:tcBorders>
            <w:tcMar>
              <w:top w:type="dxa" w:w="80"/>
              <w:left w:type="dxa" w:w="160"/>
              <w:bottom w:type="dxa" w:w="80"/>
              <w:right w:type="dxa" w:w="160"/>
            </w:tcMar>
          </w:tcPr>
          <w:p>
            <w:r>
              <w:rPr>
                <w:rFonts w:ascii="JetBrains Mono" w:cs="JetBrains Mono" w:eastAsia="JetBrains Mono" w:hAnsi="JetBrains Mono"/>
                <w:b/>
                <w:bCs/>
                <w:color w:val="7F6428"/>
                <w:spacing w:val="60"/>
                <w:sz w:val="13"/>
                <w:szCs w:val="13"/>
              </w:rPr>
              <w:t xml:space="preserve">POLICY OWNER</w:t>
            </w:r>
          </w:p>
        </w:tc>
        <w:tc>
          <w:tcPr>
            <w:tcW w:type="dxa" w:w="6120"/>
            <w:tcBorders>
              <w:top w:val="none" w:color="auto" w:sz="0"/>
              <w:left w:val="none" w:color="auto" w:sz="0"/>
              <w:bottom w:val="single" w:color="E4D9BE" w:sz="2"/>
              <w:right w:val="none" w:color="auto" w:sz="0"/>
            </w:tcBorders>
            <w:tcMar>
              <w:top w:type="dxa" w:w="80"/>
              <w:left w:type="dxa" w:w="0"/>
              <w:bottom w:type="dxa" w:w="80"/>
              <w:right w:type="dxa" w:w="160"/>
            </w:tcMar>
          </w:tcPr>
          <w:p>
            <w:r>
              <w:rPr>
                <w:rFonts w:ascii="EB Garamond" w:cs="EB Garamond" w:eastAsia="EB Garamond" w:hAnsi="EB Garamond"/>
                <w:color w:val="2A2520"/>
                <w:sz w:val="20"/>
                <w:szCs w:val="20"/>
              </w:rPr>
              <w:t xml:space="preserve">Michael McAlpin, CFP® — Founder, Managing Partner &amp; Chief Compliance Officer</w:t>
            </w:r>
          </w:p>
        </w:tc>
      </w:tr>
      <w:tr>
        <w:tc>
          <w:tcPr>
            <w:tcW w:type="dxa" w:w="3240"/>
            <w:tcBorders>
              <w:top w:val="none" w:color="auto" w:sz="0"/>
              <w:left w:val="none" w:color="auto" w:sz="0"/>
              <w:bottom w:val="single" w:color="E4D9BE" w:sz="2"/>
              <w:right w:val="none" w:color="auto" w:sz="0"/>
            </w:tcBorders>
            <w:tcMar>
              <w:top w:type="dxa" w:w="80"/>
              <w:left w:type="dxa" w:w="160"/>
              <w:bottom w:type="dxa" w:w="80"/>
              <w:right w:type="dxa" w:w="160"/>
            </w:tcMar>
          </w:tcPr>
          <w:p>
            <w:r>
              <w:rPr>
                <w:rFonts w:ascii="JetBrains Mono" w:cs="JetBrains Mono" w:eastAsia="JetBrains Mono" w:hAnsi="JetBrains Mono"/>
                <w:b/>
                <w:bCs/>
                <w:color w:val="7F6428"/>
                <w:spacing w:val="60"/>
                <w:sz w:val="13"/>
                <w:szCs w:val="13"/>
              </w:rPr>
              <w:t xml:space="preserve">EFFECTIVE DATE</w:t>
            </w:r>
          </w:p>
        </w:tc>
        <w:tc>
          <w:tcPr>
            <w:tcW w:type="dxa" w:w="6120"/>
            <w:tcBorders>
              <w:top w:val="none" w:color="auto" w:sz="0"/>
              <w:left w:val="none" w:color="auto" w:sz="0"/>
              <w:bottom w:val="single" w:color="E4D9BE" w:sz="2"/>
              <w:right w:val="none" w:color="auto" w:sz="0"/>
            </w:tcBorders>
            <w:tcMar>
              <w:top w:type="dxa" w:w="80"/>
              <w:left w:type="dxa" w:w="0"/>
              <w:bottom w:type="dxa" w:w="80"/>
              <w:right w:type="dxa" w:w="160"/>
            </w:tcMar>
          </w:tcPr>
          <w:p>
            <w:r>
              <w:rPr>
                <w:rFonts w:ascii="EB Garamond" w:cs="EB Garamond" w:eastAsia="EB Garamond" w:hAnsi="EB Garamond"/>
                <w:color w:val="2A2520"/>
                <w:sz w:val="20"/>
                <w:szCs w:val="20"/>
              </w:rPr>
              <w:t xml:space="preserve">March 31, 2026</w:t>
            </w:r>
          </w:p>
        </w:tc>
      </w:tr>
      <w:tr>
        <w:tc>
          <w:tcPr>
            <w:tcW w:type="dxa" w:w="3240"/>
            <w:tcBorders>
              <w:top w:val="none" w:color="auto" w:sz="0"/>
              <w:left w:val="none" w:color="auto" w:sz="0"/>
              <w:bottom w:val="single" w:color="E4D9BE" w:sz="2"/>
              <w:right w:val="none" w:color="auto" w:sz="0"/>
            </w:tcBorders>
            <w:tcMar>
              <w:top w:type="dxa" w:w="80"/>
              <w:left w:type="dxa" w:w="160"/>
              <w:bottom w:type="dxa" w:w="80"/>
              <w:right w:type="dxa" w:w="160"/>
            </w:tcMar>
          </w:tcPr>
          <w:p>
            <w:r>
              <w:rPr>
                <w:rFonts w:ascii="JetBrains Mono" w:cs="JetBrains Mono" w:eastAsia="JetBrains Mono" w:hAnsi="JetBrains Mono"/>
                <w:b/>
                <w:bCs/>
                <w:color w:val="7F6428"/>
                <w:spacing w:val="60"/>
                <w:sz w:val="13"/>
                <w:szCs w:val="13"/>
              </w:rPr>
              <w:t xml:space="preserve">REVIEW FREQUENCY</w:t>
            </w:r>
          </w:p>
        </w:tc>
        <w:tc>
          <w:tcPr>
            <w:tcW w:type="dxa" w:w="6120"/>
            <w:tcBorders>
              <w:top w:val="none" w:color="auto" w:sz="0"/>
              <w:left w:val="none" w:color="auto" w:sz="0"/>
              <w:bottom w:val="single" w:color="E4D9BE" w:sz="2"/>
              <w:right w:val="none" w:color="auto" w:sz="0"/>
            </w:tcBorders>
            <w:tcMar>
              <w:top w:type="dxa" w:w="80"/>
              <w:left w:type="dxa" w:w="0"/>
              <w:bottom w:type="dxa" w:w="80"/>
              <w:right w:type="dxa" w:w="160"/>
            </w:tcMar>
          </w:tcPr>
          <w:p>
            <w:r>
              <w:rPr>
                <w:rFonts w:ascii="EB Garamond" w:cs="EB Garamond" w:eastAsia="EB Garamond" w:hAnsi="EB Garamond"/>
                <w:color w:val="2A2520"/>
                <w:sz w:val="20"/>
                <w:szCs w:val="20"/>
              </w:rPr>
              <w:t xml:space="preserve">Annually, or upon material regulatory or business change</w:t>
            </w:r>
          </w:p>
        </w:tc>
      </w:tr>
      <w:tr>
        <w:tc>
          <w:tcPr>
            <w:tcW w:type="dxa" w:w="3240"/>
            <w:tcBorders>
              <w:top w:val="none" w:color="auto" w:sz="0"/>
              <w:left w:val="none" w:color="auto" w:sz="0"/>
              <w:bottom w:val="single" w:color="E4D9BE" w:sz="2"/>
              <w:right w:val="none" w:color="auto" w:sz="0"/>
            </w:tcBorders>
            <w:tcMar>
              <w:top w:type="dxa" w:w="80"/>
              <w:left w:type="dxa" w:w="160"/>
              <w:bottom w:type="dxa" w:w="80"/>
              <w:right w:type="dxa" w:w="160"/>
            </w:tcMar>
          </w:tcPr>
          <w:p>
            <w:r>
              <w:rPr>
                <w:rFonts w:ascii="JetBrains Mono" w:cs="JetBrains Mono" w:eastAsia="JetBrains Mono" w:hAnsi="JetBrains Mono"/>
                <w:b/>
                <w:bCs/>
                <w:color w:val="7F6428"/>
                <w:spacing w:val="60"/>
                <w:sz w:val="13"/>
                <w:szCs w:val="13"/>
              </w:rPr>
              <w:t xml:space="preserve">NEXT SCHEDULED REVIEW</w:t>
            </w:r>
          </w:p>
        </w:tc>
        <w:tc>
          <w:tcPr>
            <w:tcW w:type="dxa" w:w="6120"/>
            <w:tcBorders>
              <w:top w:val="none" w:color="auto" w:sz="0"/>
              <w:left w:val="none" w:color="auto" w:sz="0"/>
              <w:bottom w:val="single" w:color="E4D9BE" w:sz="2"/>
              <w:right w:val="none" w:color="auto" w:sz="0"/>
            </w:tcBorders>
            <w:tcMar>
              <w:top w:type="dxa" w:w="80"/>
              <w:left w:type="dxa" w:w="0"/>
              <w:bottom w:type="dxa" w:w="80"/>
              <w:right w:type="dxa" w:w="160"/>
            </w:tcMar>
          </w:tcPr>
          <w:p>
            <w:r>
              <w:rPr>
                <w:rFonts w:ascii="EB Garamond" w:cs="EB Garamond" w:eastAsia="EB Garamond" w:hAnsi="EB Garamond"/>
                <w:color w:val="2A2520"/>
                <w:sz w:val="20"/>
                <w:szCs w:val="20"/>
              </w:rPr>
              <w:t xml:space="preserve">March 31, 2027</w:t>
            </w:r>
          </w:p>
        </w:tc>
      </w:tr>
      <w:tr>
        <w:tc>
          <w:tcPr>
            <w:tcW w:type="dxa" w:w="3240"/>
            <w:tcBorders>
              <w:top w:val="none" w:color="auto" w:sz="0"/>
              <w:left w:val="none" w:color="auto" w:sz="0"/>
              <w:bottom w:val="single" w:color="E4D9BE" w:sz="2"/>
              <w:right w:val="none" w:color="auto" w:sz="0"/>
            </w:tcBorders>
            <w:tcMar>
              <w:top w:type="dxa" w:w="80"/>
              <w:left w:type="dxa" w:w="160"/>
              <w:bottom w:type="dxa" w:w="80"/>
              <w:right w:type="dxa" w:w="160"/>
            </w:tcMar>
          </w:tcPr>
          <w:p>
            <w:r>
              <w:rPr>
                <w:rFonts w:ascii="JetBrains Mono" w:cs="JetBrains Mono" w:eastAsia="JetBrains Mono" w:hAnsi="JetBrains Mono"/>
                <w:b/>
                <w:bCs/>
                <w:color w:val="7F6428"/>
                <w:spacing w:val="60"/>
                <w:sz w:val="13"/>
                <w:szCs w:val="13"/>
              </w:rPr>
              <w:t xml:space="preserve">PHONE</w:t>
            </w:r>
          </w:p>
        </w:tc>
        <w:tc>
          <w:tcPr>
            <w:tcW w:type="dxa" w:w="6120"/>
            <w:tcBorders>
              <w:top w:val="none" w:color="auto" w:sz="0"/>
              <w:left w:val="none" w:color="auto" w:sz="0"/>
              <w:bottom w:val="single" w:color="E4D9BE" w:sz="2"/>
              <w:right w:val="none" w:color="auto" w:sz="0"/>
            </w:tcBorders>
            <w:tcMar>
              <w:top w:type="dxa" w:w="80"/>
              <w:left w:type="dxa" w:w="0"/>
              <w:bottom w:type="dxa" w:w="80"/>
              <w:right w:type="dxa" w:w="160"/>
            </w:tcMar>
          </w:tcPr>
          <w:p>
            <w:r>
              <w:rPr>
                <w:rFonts w:ascii="EB Garamond" w:cs="EB Garamond" w:eastAsia="EB Garamond" w:hAnsi="EB Garamond"/>
                <w:color w:val="2A2520"/>
                <w:sz w:val="20"/>
                <w:szCs w:val="20"/>
              </w:rPr>
              <w:t xml:space="preserve">(866) 438-1958</w:t>
            </w:r>
          </w:p>
        </w:tc>
      </w:tr>
      <w:tr>
        <w:tc>
          <w:tcPr>
            <w:tcW w:type="dxa" w:w="3240"/>
            <w:tcBorders>
              <w:top w:val="none" w:color="auto" w:sz="0"/>
              <w:left w:val="none" w:color="auto" w:sz="0"/>
              <w:bottom w:val="single" w:color="E4D9BE" w:sz="2"/>
              <w:right w:val="none" w:color="auto" w:sz="0"/>
            </w:tcBorders>
            <w:tcMar>
              <w:top w:type="dxa" w:w="80"/>
              <w:left w:type="dxa" w:w="160"/>
              <w:bottom w:type="dxa" w:w="80"/>
              <w:right w:type="dxa" w:w="160"/>
            </w:tcMar>
          </w:tcPr>
          <w:p>
            <w:r>
              <w:rPr>
                <w:rFonts w:ascii="JetBrains Mono" w:cs="JetBrains Mono" w:eastAsia="JetBrains Mono" w:hAnsi="JetBrains Mono"/>
                <w:b/>
                <w:bCs/>
                <w:color w:val="7F6428"/>
                <w:spacing w:val="60"/>
                <w:sz w:val="13"/>
                <w:szCs w:val="13"/>
              </w:rPr>
              <w:t xml:space="preserve">EMAIL</w:t>
            </w:r>
          </w:p>
        </w:tc>
        <w:tc>
          <w:tcPr>
            <w:tcW w:type="dxa" w:w="6120"/>
            <w:tcBorders>
              <w:top w:val="none" w:color="auto" w:sz="0"/>
              <w:left w:val="none" w:color="auto" w:sz="0"/>
              <w:bottom w:val="single" w:color="E4D9BE" w:sz="2"/>
              <w:right w:val="none" w:color="auto" w:sz="0"/>
            </w:tcBorders>
            <w:tcMar>
              <w:top w:type="dxa" w:w="80"/>
              <w:left w:type="dxa" w:w="0"/>
              <w:bottom w:type="dxa" w:w="80"/>
              <w:right w:type="dxa" w:w="160"/>
            </w:tcMar>
          </w:tcPr>
          <w:p>
            <w:r>
              <w:rPr>
                <w:rFonts w:ascii="EB Garamond" w:cs="EB Garamond" w:eastAsia="EB Garamond" w:hAnsi="EB Garamond"/>
                <w:color w:val="2A2520"/>
                <w:sz w:val="20"/>
                <w:szCs w:val="20"/>
              </w:rPr>
              <w:t xml:space="preserve">bafa@intellicapital.com</w:t>
            </w:r>
          </w:p>
        </w:tc>
      </w:tr>
      <w:tr>
        <w:tc>
          <w:tcPr>
            <w:tcW w:type="dxa" w:w="3240"/>
            <w:tcBorders>
              <w:top w:val="none" w:color="auto" w:sz="0"/>
              <w:left w:val="none" w:color="auto" w:sz="0"/>
              <w:bottom w:val="single" w:color="E4D9BE" w:sz="2"/>
              <w:right w:val="none" w:color="auto" w:sz="0"/>
            </w:tcBorders>
            <w:tcMar>
              <w:top w:type="dxa" w:w="80"/>
              <w:left w:type="dxa" w:w="160"/>
              <w:bottom w:type="dxa" w:w="80"/>
              <w:right w:type="dxa" w:w="160"/>
            </w:tcMar>
          </w:tcPr>
          <w:p>
            <w:r>
              <w:rPr>
                <w:rFonts w:ascii="JetBrains Mono" w:cs="JetBrains Mono" w:eastAsia="JetBrains Mono" w:hAnsi="JetBrains Mono"/>
                <w:b/>
                <w:bCs/>
                <w:color w:val="7F6428"/>
                <w:spacing w:val="60"/>
                <w:sz w:val="13"/>
                <w:szCs w:val="13"/>
              </w:rPr>
              <w:t xml:space="preserve">MAILING ADDRESS</w:t>
            </w:r>
          </w:p>
        </w:tc>
        <w:tc>
          <w:tcPr>
            <w:tcW w:type="dxa" w:w="6120"/>
            <w:tcBorders>
              <w:top w:val="none" w:color="auto" w:sz="0"/>
              <w:left w:val="none" w:color="auto" w:sz="0"/>
              <w:bottom w:val="single" w:color="E4D9BE" w:sz="2"/>
              <w:right w:val="none" w:color="auto" w:sz="0"/>
            </w:tcBorders>
            <w:tcMar>
              <w:top w:type="dxa" w:w="80"/>
              <w:left w:type="dxa" w:w="0"/>
              <w:bottom w:type="dxa" w:w="80"/>
              <w:right w:type="dxa" w:w="160"/>
            </w:tcMar>
          </w:tcPr>
          <w:p>
            <w:r>
              <w:rPr>
                <w:rFonts w:ascii="EB Garamond" w:cs="EB Garamond" w:eastAsia="EB Garamond" w:hAnsi="EB Garamond"/>
                <w:color w:val="2A2520"/>
                <w:sz w:val="20"/>
                <w:szCs w:val="20"/>
              </w:rPr>
              <w:t xml:space="preserve">4210 Valley Ridge Blvd, Suite 130, Ponte Vedra Beach, FL 32081</w:t>
            </w:r>
          </w:p>
        </w:tc>
      </w:tr>
    </w:tbl>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A8863A" w:sz="4"/>
              <w:left w:val="none" w:color="auto" w:sz="0"/>
              <w:bottom w:val="single" w:color="A8863A" w:sz="4"/>
              <w:right w:val="none" w:color="auto" w:sz="0"/>
            </w:tcBorders>
            <w:shd w:fill="EFE6D0" w:color="auto" w:val="clear"/>
            <w:tcMar>
              <w:top w:type="dxa" w:w="140"/>
              <w:left w:type="dxa" w:w="200"/>
              <w:bottom w:type="dxa" w:w="140"/>
              <w:right w:type="dxa" w:w="200"/>
            </w:tcMar>
          </w:tcPr>
          <w:p>
            <w:pPr>
              <w:spacing w:after="40"/>
            </w:pPr>
            <w:r>
              <w:rPr>
                <w:rFonts w:ascii="JetBrains Mono" w:cs="JetBrains Mono" w:eastAsia="JetBrains Mono" w:hAnsi="JetBrains Mono"/>
                <w:b/>
                <w:bCs/>
                <w:color w:val="A8863A"/>
                <w:spacing w:val="80"/>
                <w:sz w:val="12"/>
                <w:szCs w:val="12"/>
              </w:rPr>
              <w:t xml:space="preserve">QUESTIONS</w:t>
            </w:r>
          </w:p>
          <w:p>
            <w:pPr>
              <w:spacing w:after="0" w:before="0" w:line="280"/>
            </w:pPr>
            <w:r>
              <w:rPr>
                <w:rFonts w:ascii="Cormorant Garamond" w:cs="Cormorant Garamond" w:eastAsia="Cormorant Garamond" w:hAnsi="Cormorant Garamond"/>
                <w:i/>
                <w:iCs/>
                <w:color w:val="141019"/>
                <w:sz w:val="22"/>
                <w:szCs w:val="22"/>
              </w:rPr>
              <w:t xml:space="preserve">If you have questions about this Privacy Notice, the personal information we collect about you, or how to opt out of sharing where permitted, please contact Michael McAlpin, CFP®, Founder, Managing Partner &amp; Chief Compliance Officer, at (866) 438-1958 or bafa@intellicapital.com.</w:t>
            </w:r>
          </w:p>
        </w:tc>
      </w:tr>
    </w:tbl>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A8863A" w:sz="4" w:space="4"/>
      </w:pBdr>
      <w:jc w:val="center"/>
    </w:pPr>
    <w:r>
      <w:rPr>
        <w:rFonts w:ascii="JetBrains Mono" w:cs="JetBrains Mono" w:eastAsia="JetBrains Mono" w:hAnsi="JetBrains Mono"/>
        <w:color w:val="7C7060"/>
        <w:spacing w:val="60"/>
        <w:sz w:val="11"/>
        <w:szCs w:val="11"/>
      </w:rPr>
      <w:t xml:space="preserve">INTELLICAPITAL  ADVISORS,  LLC   ·   4210  VALLEY  RIDGE  BLVD,  SUITE  130,  PONTE  VEDRA  BEACH,  FL  32081   ·   </w:t>
    </w:r>
    <w:r>
      <w:rPr>
        <w:rFonts w:ascii="JetBrains Mono" w:cs="JetBrains Mono" w:eastAsia="JetBrains Mono" w:hAnsi="JetBrains Mono"/>
        <w:color w:val="7C7060"/>
        <w:sz w:val="11"/>
        <w:szCs w:val="11"/>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B Garamond" w:cs="EB Garamond" w:eastAsia="EB Garamond" w:hAnsi="EB Garamond"/>
        <w:color w:val="2A252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2c51221fd6c740366123511ea00ff1d61c305cbd.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Intellicapital Advisors, LLC</dc:creator>
  <cp:lastModifiedBy>Un-named</cp:lastModifiedBy>
  <cp:revision>1</cp:revision>
  <dcterms:created xsi:type="dcterms:W3CDTF">2026-05-13T14:03:45.321Z</dcterms:created>
  <dcterms:modified xsi:type="dcterms:W3CDTF">2026-05-13T14:03:45.321Z</dcterms:modified>
</cp:coreProperties>
</file>

<file path=docProps/custom.xml><?xml version="1.0" encoding="utf-8"?>
<Properties xmlns="http://schemas.openxmlformats.org/officeDocument/2006/custom-properties" xmlns:vt="http://schemas.openxmlformats.org/officeDocument/2006/docPropsVTypes"/>
</file>